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D5" w:rsidRPr="00A56FC6" w:rsidRDefault="009A29D5" w:rsidP="009A29D5">
      <w:pPr>
        <w:keepNext/>
        <w:ind w:left="720" w:hanging="720"/>
        <w:jc w:val="center"/>
        <w:rPr>
          <w:b/>
          <w:bCs/>
        </w:rPr>
      </w:pPr>
      <w:r w:rsidRPr="00A56FC6">
        <w:rPr>
          <w:b/>
          <w:bCs/>
        </w:rPr>
        <w:t>EXHIBIT A: STATEMENT OF WORK</w:t>
      </w:r>
    </w:p>
    <w:p w:rsidR="009A29D5" w:rsidRPr="00A56FC6" w:rsidRDefault="009A29D5" w:rsidP="00273915">
      <w:pPr>
        <w:keepNext/>
        <w:ind w:left="720" w:hanging="720"/>
        <w:rPr>
          <w:b/>
          <w:bCs/>
        </w:rPr>
      </w:pPr>
    </w:p>
    <w:p w:rsidR="00A56FC6" w:rsidRPr="00A56FC6" w:rsidRDefault="00A56FC6" w:rsidP="00AE4EA2">
      <w:pPr>
        <w:pStyle w:val="ListParagraph"/>
        <w:keepNext/>
        <w:numPr>
          <w:ilvl w:val="0"/>
          <w:numId w:val="11"/>
        </w:numPr>
        <w:rPr>
          <w:rFonts w:eastAsiaTheme="minorHAnsi"/>
          <w:b/>
        </w:rPr>
      </w:pPr>
      <w:r w:rsidRPr="00A56FC6">
        <w:rPr>
          <w:b/>
        </w:rPr>
        <w:t>GENERAL REQUIREMENTS</w:t>
      </w:r>
    </w:p>
    <w:p w:rsidR="00A56FC6" w:rsidRPr="00A56FC6" w:rsidRDefault="00A56FC6" w:rsidP="00A56FC6">
      <w:pPr>
        <w:pStyle w:val="ListParagraph"/>
        <w:keepNext/>
        <w:rPr>
          <w:rFonts w:eastAsiaTheme="minorHAnsi"/>
          <w:b/>
        </w:rPr>
      </w:pPr>
    </w:p>
    <w:p w:rsidR="00A56FC6" w:rsidRPr="000A6037" w:rsidRDefault="0010264E" w:rsidP="006A0F6B">
      <w:pPr>
        <w:pStyle w:val="ListParagraph"/>
        <w:keepNext/>
        <w:numPr>
          <w:ilvl w:val="1"/>
          <w:numId w:val="11"/>
        </w:numPr>
        <w:rPr>
          <w:rFonts w:eastAsiaTheme="minorHAnsi"/>
          <w:b/>
        </w:rPr>
      </w:pPr>
      <w:r>
        <w:t>R</w:t>
      </w:r>
      <w:r w:rsidR="00273915" w:rsidRPr="00A56FC6">
        <w:t xml:space="preserve">efresh </w:t>
      </w:r>
      <w:r>
        <w:t>p</w:t>
      </w:r>
      <w:r w:rsidR="00AE4EA2" w:rsidRPr="00A56FC6">
        <w:t xml:space="preserve">aint </w:t>
      </w:r>
      <w:r w:rsidR="00273915" w:rsidRPr="00A56FC6">
        <w:t xml:space="preserve">throughout the </w:t>
      </w:r>
      <w:r w:rsidR="00C011B0" w:rsidRPr="00A56FC6">
        <w:t xml:space="preserve">Historic </w:t>
      </w:r>
      <w:r w:rsidR="00273915" w:rsidRPr="00A56FC6">
        <w:t>Courthouse</w:t>
      </w:r>
      <w:r w:rsidR="00AD7532">
        <w:t xml:space="preserve"> (</w:t>
      </w:r>
      <w:r w:rsidR="00AD7532" w:rsidRPr="00A56FC6">
        <w:t>hereinafter referred to as</w:t>
      </w:r>
      <w:r w:rsidR="00AD7532">
        <w:t xml:space="preserve"> “Courthouse”)</w:t>
      </w:r>
      <w:r w:rsidR="00273915" w:rsidRPr="00A56FC6">
        <w:t xml:space="preserve">. The Courthouse is located at </w:t>
      </w:r>
      <w:r w:rsidR="00C011B0" w:rsidRPr="00A56FC6">
        <w:t>351 N</w:t>
      </w:r>
      <w:r w:rsidR="00AE4EA2" w:rsidRPr="00A56FC6">
        <w:t>orth</w:t>
      </w:r>
      <w:r w:rsidR="00C011B0" w:rsidRPr="00A56FC6">
        <w:t xml:space="preserve"> Arrowhead</w:t>
      </w:r>
      <w:r w:rsidR="00273915" w:rsidRPr="00A56FC6">
        <w:t xml:space="preserve"> </w:t>
      </w:r>
      <w:r w:rsidR="00AE4EA2" w:rsidRPr="00A56FC6">
        <w:t xml:space="preserve">Avenue </w:t>
      </w:r>
      <w:r w:rsidR="00273915" w:rsidRPr="00A56FC6">
        <w:t xml:space="preserve">in </w:t>
      </w:r>
      <w:r w:rsidR="00C011B0" w:rsidRPr="00A56FC6">
        <w:t>San Bernardino</w:t>
      </w:r>
      <w:r w:rsidR="00273915" w:rsidRPr="00A56FC6">
        <w:t xml:space="preserve">, California. There is approximately </w:t>
      </w:r>
      <w:r w:rsidR="00CC6D01" w:rsidRPr="00A56FC6">
        <w:t xml:space="preserve">190,000 </w:t>
      </w:r>
      <w:r w:rsidR="00273915" w:rsidRPr="00A56FC6">
        <w:t xml:space="preserve">square feet of wall area to </w:t>
      </w:r>
      <w:r w:rsidR="00AE4EA2" w:rsidRPr="00A56FC6">
        <w:t>be refreshed in this project</w:t>
      </w:r>
    </w:p>
    <w:p w:rsidR="000A6037" w:rsidRPr="000A6037" w:rsidRDefault="000A6037" w:rsidP="000A6037">
      <w:pPr>
        <w:pStyle w:val="ListParagraph"/>
        <w:keepNext/>
        <w:ind w:left="1440"/>
        <w:rPr>
          <w:rFonts w:eastAsiaTheme="minorHAnsi"/>
          <w:b/>
        </w:rPr>
      </w:pPr>
      <w:bookmarkStart w:id="0" w:name="_GoBack"/>
      <w:bookmarkEnd w:id="0"/>
    </w:p>
    <w:p w:rsidR="00A56FC6" w:rsidRPr="00A56FC6" w:rsidRDefault="00A56FC6" w:rsidP="00A56FC6">
      <w:pPr>
        <w:pStyle w:val="ListParagraph"/>
        <w:keepNext/>
        <w:numPr>
          <w:ilvl w:val="1"/>
          <w:numId w:val="11"/>
        </w:numPr>
        <w:rPr>
          <w:rFonts w:eastAsiaTheme="minorHAnsi"/>
          <w:b/>
        </w:rPr>
      </w:pPr>
      <w:r w:rsidRPr="00A56FC6">
        <w:t xml:space="preserve">Areas to be painted include all courtrooms, all judge’s chambers, all stairwells, all public and private corridors/hallways, all restrooms, all support offices, all clerk areas, and all break rooms. All ceilings are suspended T-bar ceilings, and will not require painting. </w:t>
      </w:r>
    </w:p>
    <w:p w:rsidR="00A56FC6" w:rsidRPr="00A56FC6" w:rsidRDefault="00A56FC6" w:rsidP="00A56FC6">
      <w:pPr>
        <w:pStyle w:val="ListParagraph"/>
        <w:keepNext/>
        <w:ind w:left="1440"/>
        <w:rPr>
          <w:rFonts w:eastAsiaTheme="minorHAnsi"/>
          <w:b/>
        </w:rPr>
      </w:pPr>
    </w:p>
    <w:p w:rsidR="00972814" w:rsidRPr="00972814" w:rsidRDefault="00A56FC6" w:rsidP="00972814">
      <w:pPr>
        <w:pStyle w:val="ListParagraph"/>
        <w:keepNext/>
        <w:numPr>
          <w:ilvl w:val="1"/>
          <w:numId w:val="11"/>
        </w:numPr>
        <w:rPr>
          <w:rFonts w:eastAsiaTheme="minorHAnsi"/>
          <w:b/>
        </w:rPr>
      </w:pPr>
      <w:r w:rsidRPr="00A56FC6">
        <w:t>Paint specifications: Dunn Edwards, Suprema. Color: DEW-358 Milk Glass. Sheen: Eggshell (or approved equivalent).</w:t>
      </w:r>
    </w:p>
    <w:p w:rsidR="00972814" w:rsidRDefault="00972814" w:rsidP="00972814">
      <w:pPr>
        <w:pStyle w:val="ListParagraph"/>
      </w:pPr>
    </w:p>
    <w:p w:rsidR="00774B2B" w:rsidRPr="00774B2B" w:rsidRDefault="0010264E" w:rsidP="00972814">
      <w:pPr>
        <w:pStyle w:val="ListParagraph"/>
        <w:keepNext/>
        <w:numPr>
          <w:ilvl w:val="1"/>
          <w:numId w:val="11"/>
        </w:numPr>
        <w:rPr>
          <w:rFonts w:eastAsiaTheme="minorHAnsi"/>
          <w:b/>
        </w:rPr>
      </w:pPr>
      <w:r w:rsidRPr="00A56FC6">
        <w:t>All work will be conducted after hours (6:00 pm on) and/or on weekends.</w:t>
      </w:r>
      <w:r>
        <w:t xml:space="preserve"> Project </w:t>
      </w:r>
      <w:r w:rsidR="009B4D3D" w:rsidRPr="00A56FC6">
        <w:t xml:space="preserve">schedule by area to be </w:t>
      </w:r>
      <w:r w:rsidR="00774B2B">
        <w:t xml:space="preserve">provided by Contractor and </w:t>
      </w:r>
      <w:r w:rsidR="009B4D3D" w:rsidRPr="00A56FC6">
        <w:t xml:space="preserve">approved </w:t>
      </w:r>
      <w:r w:rsidR="009B4D3D">
        <w:t xml:space="preserve">in advance </w:t>
      </w:r>
      <w:r w:rsidR="009B4D3D" w:rsidRPr="00A56FC6">
        <w:t>by the Court</w:t>
      </w:r>
      <w:r w:rsidR="009B4D3D">
        <w:t>’s Project Manager</w:t>
      </w:r>
      <w:r w:rsidR="009B4D3D" w:rsidRPr="00A56FC6">
        <w:t>.</w:t>
      </w:r>
      <w:r w:rsidR="009B4D3D">
        <w:t xml:space="preserve"> </w:t>
      </w:r>
      <w:r w:rsidR="00774B2B" w:rsidRPr="00A56FC6">
        <w:t>The Court reserves the right to adjust the schedule, and/or working hours to accommodate needs of the Court.</w:t>
      </w:r>
    </w:p>
    <w:p w:rsidR="00774B2B" w:rsidRDefault="00774B2B" w:rsidP="00774B2B">
      <w:pPr>
        <w:pStyle w:val="ListParagraph"/>
      </w:pPr>
    </w:p>
    <w:p w:rsidR="009B4D3D" w:rsidRPr="00A56FC6" w:rsidRDefault="009B4D3D" w:rsidP="009B4D3D">
      <w:pPr>
        <w:pStyle w:val="BodyTextIndent2"/>
        <w:numPr>
          <w:ilvl w:val="1"/>
          <w:numId w:val="11"/>
        </w:numPr>
        <w:spacing w:after="0" w:line="240" w:lineRule="auto"/>
      </w:pPr>
      <w:r w:rsidRPr="00A56FC6">
        <w:t xml:space="preserve">All </w:t>
      </w:r>
      <w:r w:rsidR="005E3CF6">
        <w:t>w</w:t>
      </w:r>
      <w:r w:rsidRPr="00A56FC6">
        <w:t xml:space="preserve">ork </w:t>
      </w:r>
      <w:r w:rsidR="00EE0EB5">
        <w:t>must</w:t>
      </w:r>
      <w:r w:rsidRPr="00A56FC6">
        <w:t xml:space="preserve"> meet or exceed all applicable building, seismic, electrical and fire codes.</w:t>
      </w:r>
    </w:p>
    <w:p w:rsidR="009B4D3D" w:rsidRPr="00A56FC6" w:rsidRDefault="009B4D3D" w:rsidP="009B4D3D">
      <w:pPr>
        <w:pStyle w:val="BodyTextIndent2"/>
        <w:spacing w:after="0" w:line="240" w:lineRule="auto"/>
        <w:ind w:left="2160"/>
      </w:pPr>
    </w:p>
    <w:p w:rsidR="009B4D3D" w:rsidRPr="00A56FC6" w:rsidRDefault="009B4D3D" w:rsidP="009B4D3D">
      <w:pPr>
        <w:pStyle w:val="BodyTextIndent2"/>
        <w:numPr>
          <w:ilvl w:val="1"/>
          <w:numId w:val="11"/>
        </w:numPr>
        <w:spacing w:after="0" w:line="240" w:lineRule="auto"/>
      </w:pPr>
      <w:r w:rsidRPr="00A56FC6">
        <w:t xml:space="preserve">All </w:t>
      </w:r>
      <w:r w:rsidR="005E3CF6">
        <w:t>w</w:t>
      </w:r>
      <w:r w:rsidRPr="00A56FC6">
        <w:t xml:space="preserve">ork </w:t>
      </w:r>
      <w:r w:rsidR="00EE0EB5">
        <w:t xml:space="preserve">must </w:t>
      </w:r>
      <w:r w:rsidRPr="00A56FC6">
        <w:t xml:space="preserve">be of </w:t>
      </w:r>
      <w:r w:rsidR="005E3CF6">
        <w:t xml:space="preserve">superior </w:t>
      </w:r>
      <w:r w:rsidRPr="00A56FC6">
        <w:t>craftsmanship quality or better.</w:t>
      </w:r>
    </w:p>
    <w:p w:rsidR="009B4D3D" w:rsidRPr="00A56FC6" w:rsidRDefault="009B4D3D" w:rsidP="009B4D3D">
      <w:pPr>
        <w:pStyle w:val="ListParagraph"/>
        <w:rPr>
          <w:b/>
        </w:rPr>
      </w:pPr>
    </w:p>
    <w:p w:rsidR="00315A21" w:rsidRDefault="009B4D3D" w:rsidP="00315A21">
      <w:pPr>
        <w:pStyle w:val="BodyTextIndent2"/>
        <w:numPr>
          <w:ilvl w:val="1"/>
          <w:numId w:val="11"/>
        </w:numPr>
        <w:spacing w:after="0" w:line="240" w:lineRule="auto"/>
      </w:pPr>
      <w:r w:rsidRPr="00A56FC6">
        <w:t xml:space="preserve">All </w:t>
      </w:r>
      <w:r w:rsidR="005E3CF6">
        <w:t>w</w:t>
      </w:r>
      <w:r w:rsidRPr="00A56FC6">
        <w:t xml:space="preserve">ork </w:t>
      </w:r>
      <w:r w:rsidR="00EE0EB5">
        <w:t>must</w:t>
      </w:r>
      <w:r w:rsidRPr="00A56FC6">
        <w:t xml:space="preserve"> not impede Court business, create a nuisance</w:t>
      </w:r>
      <w:r w:rsidR="00EE0EB5">
        <w:t>,</w:t>
      </w:r>
      <w:r w:rsidRPr="00A56FC6">
        <w:t xml:space="preserve"> or endanger Court employees or the public.</w:t>
      </w:r>
    </w:p>
    <w:p w:rsidR="00315A21" w:rsidRDefault="00315A21" w:rsidP="00315A21">
      <w:pPr>
        <w:pStyle w:val="ListParagraph"/>
      </w:pPr>
    </w:p>
    <w:p w:rsidR="00AE4EA2" w:rsidRPr="00A56FC6" w:rsidRDefault="00AE4EA2" w:rsidP="00AE4EA2">
      <w:pPr>
        <w:pStyle w:val="ListParagraph"/>
        <w:keepNext/>
        <w:numPr>
          <w:ilvl w:val="0"/>
          <w:numId w:val="11"/>
        </w:numPr>
        <w:rPr>
          <w:rFonts w:eastAsiaTheme="minorHAnsi"/>
          <w:b/>
        </w:rPr>
      </w:pPr>
      <w:r w:rsidRPr="00A56FC6">
        <w:rPr>
          <w:b/>
          <w:bCs/>
        </w:rPr>
        <w:t>PUBLIC WORKS</w:t>
      </w:r>
      <w:r w:rsidR="00A56FC6" w:rsidRPr="00A56FC6">
        <w:rPr>
          <w:b/>
          <w:bCs/>
        </w:rPr>
        <w:t xml:space="preserve"> REQUIREMENTS</w:t>
      </w:r>
    </w:p>
    <w:p w:rsidR="00AE4EA2" w:rsidRPr="00A56FC6" w:rsidRDefault="00AE4EA2" w:rsidP="00AE4EA2">
      <w:pPr>
        <w:pStyle w:val="ListParagraph"/>
        <w:rPr>
          <w:rFonts w:eastAsiaTheme="minorHAnsi"/>
        </w:rPr>
      </w:pPr>
    </w:p>
    <w:p w:rsidR="00AE4EA2" w:rsidRPr="00A56FC6" w:rsidRDefault="0006798B" w:rsidP="00AE4EA2">
      <w:pPr>
        <w:pStyle w:val="ListParagraph"/>
        <w:keepNext/>
        <w:numPr>
          <w:ilvl w:val="1"/>
          <w:numId w:val="11"/>
        </w:numPr>
        <w:rPr>
          <w:rFonts w:eastAsiaTheme="minorHAnsi"/>
        </w:rPr>
      </w:pPr>
      <w:r w:rsidRPr="00A56FC6">
        <w:rPr>
          <w:rFonts w:eastAsiaTheme="minorHAnsi"/>
        </w:rPr>
        <w:t xml:space="preserve">This is a Public Works project subject to compliance monitoring and enforcement by the California Department of Industrial Relations (“DIR”). Contractor and any </w:t>
      </w:r>
      <w:r w:rsidR="00294821">
        <w:rPr>
          <w:rFonts w:eastAsiaTheme="minorHAnsi"/>
        </w:rPr>
        <w:t xml:space="preserve">allowed </w:t>
      </w:r>
      <w:r w:rsidRPr="00A56FC6">
        <w:rPr>
          <w:rFonts w:eastAsiaTheme="minorHAnsi"/>
        </w:rPr>
        <w:t>Subcontractor must be registered with the DIR as a Public Works contractor pursuant to Labor Code 1725.5.</w:t>
      </w:r>
    </w:p>
    <w:p w:rsidR="00AE4EA2" w:rsidRPr="00A56FC6" w:rsidRDefault="00AE4EA2" w:rsidP="00AE4EA2">
      <w:pPr>
        <w:pStyle w:val="ListParagraph"/>
        <w:keepNext/>
        <w:ind w:left="1440"/>
        <w:rPr>
          <w:rFonts w:eastAsiaTheme="minorHAnsi"/>
        </w:rPr>
      </w:pPr>
    </w:p>
    <w:p w:rsidR="00AE4EA2" w:rsidRPr="00A56FC6" w:rsidRDefault="0006798B" w:rsidP="00AE4EA2">
      <w:pPr>
        <w:pStyle w:val="ListParagraph"/>
        <w:keepNext/>
        <w:numPr>
          <w:ilvl w:val="1"/>
          <w:numId w:val="11"/>
        </w:numPr>
        <w:rPr>
          <w:rFonts w:eastAsiaTheme="minorHAnsi"/>
        </w:rPr>
      </w:pPr>
      <w:r w:rsidRPr="00A56FC6">
        <w:rPr>
          <w:rFonts w:eastAsiaTheme="minorHAnsi"/>
        </w:rPr>
        <w:t xml:space="preserve">Contractor </w:t>
      </w:r>
      <w:r w:rsidR="00972814">
        <w:rPr>
          <w:rFonts w:eastAsiaTheme="minorHAnsi"/>
        </w:rPr>
        <w:t>wi</w:t>
      </w:r>
      <w:r w:rsidRPr="00A56FC6">
        <w:rPr>
          <w:rFonts w:eastAsiaTheme="minorHAnsi"/>
        </w:rPr>
        <w:t xml:space="preserve">ll ensure that it and any allowed Subcontractor has all the necessary licenses and permits required by federal, state, county and municipal laws, rules and regulations. Contractor and any allowed Subcontractor </w:t>
      </w:r>
      <w:r w:rsidR="00972814">
        <w:rPr>
          <w:rFonts w:eastAsiaTheme="minorHAnsi"/>
        </w:rPr>
        <w:t>will</w:t>
      </w:r>
      <w:r w:rsidRPr="00A56FC6">
        <w:rPr>
          <w:rFonts w:eastAsiaTheme="minorHAnsi"/>
        </w:rPr>
        <w:t xml:space="preserve"> maintain these licenses and permits in effect for the duration of this contract. Contractor </w:t>
      </w:r>
      <w:r w:rsidR="00972814">
        <w:rPr>
          <w:rFonts w:eastAsiaTheme="minorHAnsi"/>
        </w:rPr>
        <w:t>wi</w:t>
      </w:r>
      <w:r w:rsidRPr="00A56FC6">
        <w:rPr>
          <w:rFonts w:eastAsiaTheme="minorHAnsi"/>
        </w:rPr>
        <w:t xml:space="preserve">ll notify the Court immediately upon loss or suspension of any such licenses and </w:t>
      </w:r>
      <w:r w:rsidRPr="00A56FC6">
        <w:rPr>
          <w:rFonts w:eastAsiaTheme="minorHAnsi"/>
        </w:rPr>
        <w:lastRenderedPageBreak/>
        <w:t>permits. Failure to maintain all required licenses or permits may result in immediate termination of any contract due to Contractor’s default.</w:t>
      </w:r>
    </w:p>
    <w:p w:rsidR="00AE4EA2" w:rsidRPr="00A56FC6" w:rsidRDefault="00AE4EA2" w:rsidP="00AE4EA2">
      <w:pPr>
        <w:pStyle w:val="ListParagraph"/>
        <w:keepNext/>
        <w:ind w:left="1440"/>
        <w:rPr>
          <w:rFonts w:eastAsiaTheme="minorHAnsi"/>
        </w:rPr>
      </w:pPr>
    </w:p>
    <w:p w:rsidR="00AE4EA2" w:rsidRPr="00A56FC6" w:rsidRDefault="0006798B" w:rsidP="00AE4EA2">
      <w:pPr>
        <w:pStyle w:val="ListParagraph"/>
        <w:keepNext/>
        <w:numPr>
          <w:ilvl w:val="1"/>
          <w:numId w:val="11"/>
        </w:numPr>
        <w:rPr>
          <w:rFonts w:eastAsiaTheme="minorHAnsi"/>
        </w:rPr>
      </w:pPr>
      <w:r w:rsidRPr="00A56FC6">
        <w:rPr>
          <w:rFonts w:eastAsiaTheme="minorHAnsi"/>
        </w:rPr>
        <w:t>A specialty Contractor’s License C33 is required, a “B” license is not sufficient in accordance with Business &amp; Profession Code Division 3, Chapter 9.  Contractors, Article 4. Classifications sections 7057 (a), (b) &amp; (c).</w:t>
      </w:r>
    </w:p>
    <w:p w:rsidR="00AE4EA2" w:rsidRPr="00A56FC6" w:rsidRDefault="00AE4EA2" w:rsidP="00AE4EA2">
      <w:pPr>
        <w:pStyle w:val="ListParagraph"/>
        <w:rPr>
          <w:rFonts w:eastAsiaTheme="minorHAnsi"/>
        </w:rPr>
      </w:pPr>
    </w:p>
    <w:p w:rsidR="00AE4EA2" w:rsidRDefault="0006798B" w:rsidP="00AE4EA2">
      <w:pPr>
        <w:pStyle w:val="ListParagraph"/>
        <w:keepNext/>
        <w:numPr>
          <w:ilvl w:val="1"/>
          <w:numId w:val="11"/>
        </w:numPr>
        <w:rPr>
          <w:rFonts w:eastAsiaTheme="minorHAnsi"/>
        </w:rPr>
      </w:pPr>
      <w:r w:rsidRPr="00A56FC6">
        <w:rPr>
          <w:rFonts w:eastAsiaTheme="minorHAnsi"/>
        </w:rPr>
        <w:t xml:space="preserve">Contractor and </w:t>
      </w:r>
      <w:r w:rsidR="00972814">
        <w:rPr>
          <w:rFonts w:eastAsiaTheme="minorHAnsi"/>
        </w:rPr>
        <w:t xml:space="preserve">any allowed </w:t>
      </w:r>
      <w:r w:rsidRPr="00A56FC6">
        <w:rPr>
          <w:rFonts w:eastAsiaTheme="minorHAnsi"/>
        </w:rPr>
        <w:t xml:space="preserve">Subcontractor </w:t>
      </w:r>
      <w:r w:rsidR="00972814">
        <w:rPr>
          <w:rFonts w:eastAsiaTheme="minorHAnsi"/>
        </w:rPr>
        <w:t>wi</w:t>
      </w:r>
      <w:r w:rsidRPr="00A56FC6">
        <w:rPr>
          <w:rFonts w:eastAsiaTheme="minorHAnsi"/>
        </w:rPr>
        <w:t>ll strictly adhere to the applicable provisions of the California Labor Code and any federal, state and local laws, or</w:t>
      </w:r>
      <w:r w:rsidR="00972814">
        <w:rPr>
          <w:rFonts w:eastAsiaTheme="minorHAnsi"/>
        </w:rPr>
        <w:t>dinances, rules and regulations applicable to providing these services.</w:t>
      </w:r>
    </w:p>
    <w:p w:rsidR="00972814" w:rsidRPr="00972814" w:rsidRDefault="00972814" w:rsidP="00972814">
      <w:pPr>
        <w:pStyle w:val="ListParagraph"/>
        <w:rPr>
          <w:rFonts w:eastAsiaTheme="minorHAnsi"/>
        </w:rPr>
      </w:pPr>
    </w:p>
    <w:p w:rsidR="00AE4EA2" w:rsidRPr="00A56FC6" w:rsidRDefault="00A56FC6" w:rsidP="0016402C">
      <w:pPr>
        <w:pStyle w:val="ListParagraph"/>
        <w:widowControl w:val="0"/>
        <w:numPr>
          <w:ilvl w:val="1"/>
          <w:numId w:val="11"/>
        </w:numPr>
        <w:rPr>
          <w:rFonts w:eastAsiaTheme="minorHAnsi"/>
        </w:rPr>
      </w:pPr>
      <w:r>
        <w:rPr>
          <w:rFonts w:eastAsiaTheme="minorHAnsi"/>
        </w:rPr>
        <w:t>Contractor and any allowed Subcontractor shall pay</w:t>
      </w:r>
      <w:r w:rsidR="0006798B" w:rsidRPr="00A56FC6">
        <w:rPr>
          <w:rFonts w:eastAsiaTheme="minorHAnsi"/>
        </w:rPr>
        <w:t xml:space="preserve"> </w:t>
      </w:r>
      <w:r>
        <w:rPr>
          <w:rFonts w:eastAsiaTheme="minorHAnsi"/>
        </w:rPr>
        <w:t xml:space="preserve">current </w:t>
      </w:r>
      <w:r w:rsidR="0006798B" w:rsidRPr="00A56FC6">
        <w:rPr>
          <w:rFonts w:eastAsiaTheme="minorHAnsi"/>
        </w:rPr>
        <w:t xml:space="preserve">prevailing wage rates. Copies of prevailing wage rates are available at the Court’s principle office, which shall be made available to any interested party upon request. Prevailing wage rates can also be located at the Department of Industrial Relations website:  </w:t>
      </w:r>
      <w:hyperlink r:id="rId7" w:history="1">
        <w:r w:rsidR="00AE4EA2" w:rsidRPr="00A56FC6">
          <w:rPr>
            <w:rStyle w:val="Hyperlink"/>
            <w:rFonts w:eastAsiaTheme="minorHAnsi"/>
          </w:rPr>
          <w:t>http://www.dir.ca.gov/Public-Works/Prevailing-Wage.html</w:t>
        </w:r>
      </w:hyperlink>
      <w:r w:rsidR="0006798B" w:rsidRPr="00A56FC6">
        <w:rPr>
          <w:rFonts w:eastAsiaTheme="minorHAnsi"/>
        </w:rPr>
        <w:t>.</w:t>
      </w:r>
    </w:p>
    <w:p w:rsidR="006B67AB" w:rsidRPr="00A56FC6" w:rsidRDefault="006B67AB" w:rsidP="006B67AB">
      <w:pPr>
        <w:pStyle w:val="ListParagraph"/>
        <w:rPr>
          <w:rFonts w:eastAsiaTheme="minorHAnsi"/>
        </w:rPr>
      </w:pPr>
    </w:p>
    <w:p w:rsidR="00AE4EA2" w:rsidRPr="00A56FC6" w:rsidRDefault="0006798B" w:rsidP="006B67AB">
      <w:pPr>
        <w:pStyle w:val="ListParagraph"/>
        <w:keepNext/>
        <w:numPr>
          <w:ilvl w:val="1"/>
          <w:numId w:val="11"/>
        </w:numPr>
        <w:spacing w:after="240"/>
        <w:rPr>
          <w:rFonts w:eastAsiaTheme="minorHAnsi"/>
        </w:rPr>
      </w:pPr>
      <w:r w:rsidRPr="00A56FC6">
        <w:rPr>
          <w:rFonts w:eastAsiaTheme="minorHAnsi"/>
        </w:rPr>
        <w:t xml:space="preserve">Special provisions apply and are posted at: </w:t>
      </w:r>
      <w:hyperlink r:id="rId8" w:history="1">
        <w:r w:rsidR="00AE4EA2" w:rsidRPr="00A56FC6">
          <w:rPr>
            <w:rStyle w:val="Hyperlink"/>
            <w:rFonts w:eastAsiaTheme="minorHAnsi"/>
          </w:rPr>
          <w:t>http://www2.courtinfo.ca.gov/Prevailing-Wage-Attachment.pdf</w:t>
        </w:r>
      </w:hyperlink>
      <w:r w:rsidRPr="00A56FC6">
        <w:rPr>
          <w:rFonts w:eastAsiaTheme="minorHAnsi"/>
        </w:rPr>
        <w:t>.</w:t>
      </w:r>
    </w:p>
    <w:p w:rsidR="006B67AB" w:rsidRPr="00A56FC6" w:rsidRDefault="00A56FC6" w:rsidP="00A56FC6">
      <w:pPr>
        <w:pStyle w:val="ListParagraph"/>
        <w:keepNext/>
        <w:numPr>
          <w:ilvl w:val="0"/>
          <w:numId w:val="11"/>
        </w:numPr>
        <w:rPr>
          <w:rFonts w:eastAsiaTheme="minorHAnsi"/>
          <w:b/>
        </w:rPr>
      </w:pPr>
      <w:r w:rsidRPr="00A56FC6">
        <w:rPr>
          <w:b/>
        </w:rPr>
        <w:t>CONTRACTOR RESPONSIBILITIES</w:t>
      </w:r>
    </w:p>
    <w:p w:rsidR="006B67AB" w:rsidRPr="00A56FC6" w:rsidRDefault="006B67AB" w:rsidP="006B67AB">
      <w:pPr>
        <w:pStyle w:val="ListParagraph"/>
        <w:keepNext/>
        <w:ind w:left="1440"/>
        <w:rPr>
          <w:rFonts w:eastAsiaTheme="minorHAnsi"/>
          <w:b/>
        </w:rPr>
      </w:pPr>
    </w:p>
    <w:p w:rsidR="00AD7532" w:rsidRDefault="00AD7532" w:rsidP="00AD7532">
      <w:pPr>
        <w:pStyle w:val="BodyTextIndent2"/>
        <w:numPr>
          <w:ilvl w:val="1"/>
          <w:numId w:val="11"/>
        </w:numPr>
        <w:spacing w:after="0" w:line="240" w:lineRule="auto"/>
      </w:pPr>
      <w:r>
        <w:t>Contractor will</w:t>
      </w:r>
      <w:r w:rsidRPr="00A56FC6">
        <w:t xml:space="preserve"> provide all necessary tools</w:t>
      </w:r>
      <w:r w:rsidR="00294821">
        <w:t>,</w:t>
      </w:r>
      <w:r w:rsidRPr="00A56FC6">
        <w:t xml:space="preserve"> materials</w:t>
      </w:r>
      <w:r w:rsidR="00294821">
        <w:t>,</w:t>
      </w:r>
      <w:r w:rsidRPr="00A56FC6">
        <w:t xml:space="preserve"> and storage facilities to ensure professional installation according to manufacturer’s recommendations.</w:t>
      </w:r>
    </w:p>
    <w:p w:rsidR="00AD7532" w:rsidRDefault="00AD7532" w:rsidP="00AD7532">
      <w:pPr>
        <w:pStyle w:val="ListParagraph"/>
      </w:pPr>
    </w:p>
    <w:p w:rsidR="00AD7532" w:rsidRDefault="00AD7532" w:rsidP="00AD7532">
      <w:pPr>
        <w:pStyle w:val="ListParagraph"/>
        <w:numPr>
          <w:ilvl w:val="1"/>
          <w:numId w:val="11"/>
        </w:numPr>
      </w:pPr>
      <w:r>
        <w:t xml:space="preserve">Contractor will provide </w:t>
      </w:r>
      <w:r w:rsidRPr="00A56FC6">
        <w:t xml:space="preserve">Material Safety Data Sheets (MSDS) to the </w:t>
      </w:r>
      <w:r w:rsidR="00294821">
        <w:t>Court’s Pr</w:t>
      </w:r>
      <w:r w:rsidRPr="00A56FC6">
        <w:t xml:space="preserve">oject </w:t>
      </w:r>
      <w:r w:rsidR="00294821">
        <w:t>M</w:t>
      </w:r>
      <w:r w:rsidRPr="00A56FC6">
        <w:t xml:space="preserve">anager for all products used by </w:t>
      </w:r>
      <w:r>
        <w:t>Contractor</w:t>
      </w:r>
      <w:r w:rsidRPr="00A56FC6">
        <w:t>.</w:t>
      </w:r>
    </w:p>
    <w:p w:rsidR="00AD7532" w:rsidRDefault="00AD7532" w:rsidP="00AD7532">
      <w:pPr>
        <w:pStyle w:val="ListParagraph"/>
      </w:pPr>
    </w:p>
    <w:p w:rsidR="006B67AB" w:rsidRPr="00A56FC6" w:rsidRDefault="006B67AB" w:rsidP="00A56FC6">
      <w:pPr>
        <w:pStyle w:val="ListParagraph"/>
        <w:keepNext/>
        <w:numPr>
          <w:ilvl w:val="1"/>
          <w:numId w:val="11"/>
        </w:numPr>
        <w:rPr>
          <w:rFonts w:eastAsiaTheme="minorHAnsi"/>
          <w:b/>
        </w:rPr>
      </w:pPr>
      <w:r w:rsidRPr="00A56FC6">
        <w:t>Contractor will move a</w:t>
      </w:r>
      <w:r w:rsidR="00273915" w:rsidRPr="00A56FC6">
        <w:t xml:space="preserve">ll furnishings </w:t>
      </w:r>
      <w:r w:rsidRPr="00A56FC6">
        <w:t xml:space="preserve">away from walls </w:t>
      </w:r>
      <w:r w:rsidR="00273915" w:rsidRPr="00A56FC6">
        <w:t>as necessary to adequately prep and paint.</w:t>
      </w:r>
      <w:r w:rsidRPr="00A56FC6">
        <w:t xml:space="preserve"> Contractor will return all furnishings to their original location when painting is complete and dry.</w:t>
      </w:r>
    </w:p>
    <w:p w:rsidR="006B67AB" w:rsidRPr="00A56FC6" w:rsidRDefault="006B67AB" w:rsidP="00A56FC6">
      <w:pPr>
        <w:pStyle w:val="ListParagraph"/>
        <w:keepNext/>
        <w:ind w:left="1440"/>
        <w:rPr>
          <w:rFonts w:eastAsiaTheme="minorHAnsi"/>
          <w:b/>
        </w:rPr>
      </w:pPr>
    </w:p>
    <w:p w:rsidR="006B67AB" w:rsidRPr="00A56FC6" w:rsidRDefault="006B67AB" w:rsidP="00A56FC6">
      <w:pPr>
        <w:pStyle w:val="ListParagraph"/>
        <w:keepNext/>
        <w:numPr>
          <w:ilvl w:val="1"/>
          <w:numId w:val="11"/>
        </w:numPr>
        <w:rPr>
          <w:rFonts w:eastAsiaTheme="minorHAnsi"/>
          <w:b/>
        </w:rPr>
      </w:pPr>
      <w:r w:rsidRPr="00A56FC6">
        <w:t>Contractor</w:t>
      </w:r>
      <w:r w:rsidR="00273915" w:rsidRPr="00A56FC6">
        <w:t xml:space="preserve"> will ensure that all surfaces, furnishings and equipment will be properly</w:t>
      </w:r>
      <w:r w:rsidRPr="00A56FC6">
        <w:t xml:space="preserve"> protected from dust and paint.</w:t>
      </w:r>
    </w:p>
    <w:p w:rsidR="006B67AB" w:rsidRPr="00A56FC6" w:rsidRDefault="006B67AB" w:rsidP="00A56FC6">
      <w:pPr>
        <w:pStyle w:val="ListParagraph"/>
        <w:ind w:left="0"/>
      </w:pPr>
    </w:p>
    <w:p w:rsidR="006B67AB" w:rsidRPr="00A56FC6" w:rsidRDefault="006B67AB" w:rsidP="00A56FC6">
      <w:pPr>
        <w:pStyle w:val="ListParagraph"/>
        <w:keepNext/>
        <w:numPr>
          <w:ilvl w:val="1"/>
          <w:numId w:val="11"/>
        </w:numPr>
        <w:rPr>
          <w:rFonts w:eastAsiaTheme="minorHAnsi"/>
          <w:b/>
        </w:rPr>
      </w:pPr>
      <w:r w:rsidRPr="00A56FC6">
        <w:t xml:space="preserve">Contractor will </w:t>
      </w:r>
      <w:r w:rsidR="00AD7532">
        <w:t xml:space="preserve">properly </w:t>
      </w:r>
      <w:r w:rsidRPr="00A56FC6">
        <w:t>p</w:t>
      </w:r>
      <w:r w:rsidR="00273915" w:rsidRPr="00A56FC6">
        <w:t>rep all previously painted surfaces appropriately as needed prior to re-painting. Stains must not show through, and all damage (holes, cracks etc</w:t>
      </w:r>
      <w:r w:rsidR="00EE0EB5">
        <w:t>.</w:t>
      </w:r>
      <w:r w:rsidR="00273915" w:rsidRPr="00A56FC6">
        <w:t xml:space="preserve">) </w:t>
      </w:r>
      <w:r w:rsidRPr="00A56FC6">
        <w:t>must</w:t>
      </w:r>
      <w:r w:rsidR="00273915" w:rsidRPr="00A56FC6">
        <w:t xml:space="preserve"> be properly repaired prior to painting</w:t>
      </w:r>
      <w:r w:rsidRPr="00A56FC6">
        <w:t>.</w:t>
      </w:r>
    </w:p>
    <w:p w:rsidR="006B67AB" w:rsidRPr="00A56FC6" w:rsidRDefault="006B67AB" w:rsidP="00A56FC6">
      <w:pPr>
        <w:pStyle w:val="ListParagraph"/>
        <w:ind w:left="0"/>
      </w:pPr>
    </w:p>
    <w:p w:rsidR="006B67AB" w:rsidRPr="00A56FC6" w:rsidRDefault="006B67AB" w:rsidP="00A56FC6">
      <w:pPr>
        <w:pStyle w:val="ListParagraph"/>
        <w:keepNext/>
        <w:numPr>
          <w:ilvl w:val="1"/>
          <w:numId w:val="11"/>
        </w:numPr>
        <w:rPr>
          <w:rFonts w:eastAsiaTheme="minorHAnsi"/>
          <w:b/>
        </w:rPr>
      </w:pPr>
      <w:r w:rsidRPr="00A56FC6">
        <w:t>Contractor will properly prep a</w:t>
      </w:r>
      <w:r w:rsidR="00273915" w:rsidRPr="00A56FC6">
        <w:t xml:space="preserve">ll </w:t>
      </w:r>
      <w:r w:rsidR="00CC6D01" w:rsidRPr="00A56FC6">
        <w:t xml:space="preserve">paint grade </w:t>
      </w:r>
      <w:r w:rsidR="00273915" w:rsidRPr="00A56FC6">
        <w:t>doors, frames and casings, and paint on both sides</w:t>
      </w:r>
      <w:r w:rsidR="00AD7532">
        <w:t>.</w:t>
      </w:r>
    </w:p>
    <w:p w:rsidR="006B67AB" w:rsidRPr="00A56FC6" w:rsidRDefault="006B67AB" w:rsidP="00A56FC6">
      <w:pPr>
        <w:pStyle w:val="ListParagraph"/>
        <w:ind w:left="0"/>
      </w:pPr>
    </w:p>
    <w:p w:rsidR="00A56FC6" w:rsidRPr="00972814" w:rsidRDefault="00A56FC6" w:rsidP="00A56FC6">
      <w:pPr>
        <w:pStyle w:val="ListParagraph"/>
        <w:keepNext/>
        <w:numPr>
          <w:ilvl w:val="1"/>
          <w:numId w:val="11"/>
        </w:numPr>
        <w:rPr>
          <w:rFonts w:eastAsiaTheme="minorHAnsi"/>
          <w:b/>
        </w:rPr>
      </w:pPr>
      <w:r w:rsidRPr="00A56FC6">
        <w:t>Contractor will a</w:t>
      </w:r>
      <w:r w:rsidR="00273915" w:rsidRPr="00A56FC6">
        <w:t>pply a minimum of two (2) finish coats or more as necessary to ensure a uniform finish. All paint and/or primer will be installed per the manufacturer specifications.</w:t>
      </w:r>
    </w:p>
    <w:p w:rsidR="00972814" w:rsidRPr="00972814" w:rsidRDefault="00972814" w:rsidP="00972814">
      <w:pPr>
        <w:pStyle w:val="ListParagraph"/>
        <w:rPr>
          <w:rFonts w:eastAsiaTheme="minorHAnsi"/>
          <w:b/>
        </w:rPr>
      </w:pPr>
    </w:p>
    <w:p w:rsidR="00EE0EB5" w:rsidRPr="00EE0EB5" w:rsidRDefault="00774B2B" w:rsidP="005C4A28">
      <w:pPr>
        <w:pStyle w:val="BodyTextIndent2"/>
        <w:numPr>
          <w:ilvl w:val="1"/>
          <w:numId w:val="11"/>
        </w:numPr>
        <w:spacing w:after="0" w:line="240" w:lineRule="auto"/>
        <w:rPr>
          <w:u w:val="single"/>
        </w:rPr>
      </w:pPr>
      <w:r>
        <w:lastRenderedPageBreak/>
        <w:t>Contractor will take r</w:t>
      </w:r>
      <w:r w:rsidRPr="00A56FC6">
        <w:t xml:space="preserve">easonable care while working in the building. </w:t>
      </w:r>
      <w:r w:rsidR="00294821">
        <w:t>Contractor must n</w:t>
      </w:r>
      <w:r w:rsidRPr="00A56FC6">
        <w:t>ote existing conditions of walls, floors and furniture</w:t>
      </w:r>
      <w:r w:rsidR="00294821">
        <w:t xml:space="preserve"> and present report to Court’s Project Manager prior to beginning </w:t>
      </w:r>
      <w:r w:rsidR="005E3CF6">
        <w:t>w</w:t>
      </w:r>
      <w:r w:rsidR="00294821">
        <w:t>ork</w:t>
      </w:r>
      <w:r w:rsidRPr="00A56FC6">
        <w:t>.</w:t>
      </w:r>
    </w:p>
    <w:p w:rsidR="00EE0EB5" w:rsidRDefault="00EE0EB5" w:rsidP="00EE0EB5">
      <w:pPr>
        <w:pStyle w:val="ListParagraph"/>
      </w:pPr>
    </w:p>
    <w:p w:rsidR="00EE0EB5" w:rsidRPr="00A56FC6" w:rsidRDefault="00EE0EB5" w:rsidP="00EE0EB5">
      <w:pPr>
        <w:pStyle w:val="BodyTextIndent2"/>
        <w:numPr>
          <w:ilvl w:val="1"/>
          <w:numId w:val="11"/>
        </w:numPr>
        <w:spacing w:after="0" w:line="240" w:lineRule="auto"/>
      </w:pPr>
      <w:r>
        <w:t>Contractor will ensure all w</w:t>
      </w:r>
      <w:r w:rsidRPr="00A56FC6">
        <w:t>ork areas will be clean and free of any debris</w:t>
      </w:r>
      <w:r>
        <w:t>, waste or trash</w:t>
      </w:r>
      <w:r w:rsidRPr="00A56FC6">
        <w:t xml:space="preserve"> at the end of each work day.</w:t>
      </w:r>
    </w:p>
    <w:p w:rsidR="00294821" w:rsidRDefault="00294821" w:rsidP="00294821">
      <w:pPr>
        <w:pStyle w:val="ListParagraph"/>
        <w:rPr>
          <w:u w:val="single"/>
        </w:rPr>
      </w:pPr>
    </w:p>
    <w:p w:rsidR="00972814" w:rsidRDefault="00273915" w:rsidP="00972814">
      <w:pPr>
        <w:pStyle w:val="ListParagraph"/>
        <w:numPr>
          <w:ilvl w:val="1"/>
          <w:numId w:val="11"/>
        </w:numPr>
      </w:pPr>
      <w:r w:rsidRPr="00972814">
        <w:rPr>
          <w:u w:val="single"/>
        </w:rPr>
        <w:t>Responsibility for Damage</w:t>
      </w:r>
      <w:r w:rsidRPr="00A56FC6">
        <w:t>:</w:t>
      </w:r>
    </w:p>
    <w:p w:rsidR="00972814" w:rsidRDefault="00972814" w:rsidP="00972814">
      <w:pPr>
        <w:pStyle w:val="ListParagraph"/>
      </w:pPr>
    </w:p>
    <w:p w:rsidR="00972814" w:rsidRDefault="00972814" w:rsidP="00972814">
      <w:pPr>
        <w:pStyle w:val="ListParagraph"/>
        <w:numPr>
          <w:ilvl w:val="2"/>
          <w:numId w:val="11"/>
        </w:numPr>
      </w:pPr>
      <w:r>
        <w:t>Contractor will</w:t>
      </w:r>
      <w:r w:rsidR="00273915" w:rsidRPr="00A56FC6">
        <w:t xml:space="preserve"> repair and restore to its original condition any Court property damaged by the </w:t>
      </w:r>
      <w:r>
        <w:t xml:space="preserve">Contractor or </w:t>
      </w:r>
      <w:r w:rsidR="00294821">
        <w:t xml:space="preserve">any allowed </w:t>
      </w:r>
      <w:r>
        <w:t>Subcontractor</w:t>
      </w:r>
      <w:r w:rsidR="00273915" w:rsidRPr="00A56FC6">
        <w:t xml:space="preserve"> at no cost to the Court.</w:t>
      </w:r>
    </w:p>
    <w:p w:rsidR="009B4D3D" w:rsidRDefault="009B4D3D" w:rsidP="009B4D3D">
      <w:pPr>
        <w:pStyle w:val="ListParagraph"/>
        <w:ind w:left="2160"/>
      </w:pPr>
    </w:p>
    <w:p w:rsidR="00972814" w:rsidRDefault="00972814" w:rsidP="00972814">
      <w:pPr>
        <w:pStyle w:val="ListParagraph"/>
        <w:numPr>
          <w:ilvl w:val="2"/>
          <w:numId w:val="11"/>
        </w:numPr>
      </w:pPr>
      <w:r>
        <w:t>Contractor will</w:t>
      </w:r>
      <w:r w:rsidR="00273915" w:rsidRPr="00A56FC6">
        <w:t xml:space="preserve"> be responsible for damage or loss caused by </w:t>
      </w:r>
      <w:r>
        <w:t xml:space="preserve">Contractor or </w:t>
      </w:r>
      <w:r w:rsidR="00294821">
        <w:t>any allowed</w:t>
      </w:r>
      <w:r>
        <w:t xml:space="preserve"> Subcontractor</w:t>
      </w:r>
      <w:r w:rsidRPr="00A56FC6">
        <w:t xml:space="preserve"> </w:t>
      </w:r>
      <w:r w:rsidR="00273915" w:rsidRPr="00A56FC6">
        <w:t>to personal property of Court employees.</w:t>
      </w:r>
    </w:p>
    <w:p w:rsidR="009B4D3D" w:rsidRDefault="009B4D3D" w:rsidP="009B4D3D">
      <w:pPr>
        <w:pStyle w:val="ListParagraph"/>
        <w:ind w:left="2160"/>
      </w:pPr>
    </w:p>
    <w:p w:rsidR="00972814" w:rsidRDefault="00972814" w:rsidP="00972814">
      <w:pPr>
        <w:pStyle w:val="ListParagraph"/>
        <w:numPr>
          <w:ilvl w:val="2"/>
          <w:numId w:val="11"/>
        </w:numPr>
      </w:pPr>
      <w:r>
        <w:t>Contractor will ensure a</w:t>
      </w:r>
      <w:r w:rsidR="00273915" w:rsidRPr="00A56FC6">
        <w:t xml:space="preserve">ll cleaning methods, materials, supplies and equipment </w:t>
      </w:r>
      <w:r>
        <w:t>are</w:t>
      </w:r>
      <w:r w:rsidR="00273915" w:rsidRPr="00A56FC6">
        <w:t xml:space="preserve"> not be harmful to the surfaces on which they are used.</w:t>
      </w:r>
    </w:p>
    <w:p w:rsidR="00972814" w:rsidRDefault="00972814" w:rsidP="00972814">
      <w:pPr>
        <w:pStyle w:val="ListParagraph"/>
        <w:ind w:left="1440"/>
      </w:pPr>
    </w:p>
    <w:p w:rsidR="00972814" w:rsidRDefault="00273915" w:rsidP="00972814">
      <w:pPr>
        <w:pStyle w:val="ListParagraph"/>
        <w:numPr>
          <w:ilvl w:val="1"/>
          <w:numId w:val="11"/>
        </w:numPr>
      </w:pPr>
      <w:r w:rsidRPr="00972814">
        <w:rPr>
          <w:u w:val="single"/>
        </w:rPr>
        <w:t>Supervision</w:t>
      </w:r>
      <w:r w:rsidRPr="00A56FC6">
        <w:t>:</w:t>
      </w:r>
      <w:r w:rsidR="00972814">
        <w:t xml:space="preserve"> </w:t>
      </w:r>
    </w:p>
    <w:p w:rsidR="009B4D3D" w:rsidRDefault="009B4D3D" w:rsidP="009B4D3D">
      <w:pPr>
        <w:pStyle w:val="ListParagraph"/>
        <w:ind w:left="2160"/>
      </w:pPr>
    </w:p>
    <w:p w:rsidR="00972814" w:rsidRDefault="00972814" w:rsidP="00972814">
      <w:pPr>
        <w:pStyle w:val="ListParagraph"/>
        <w:numPr>
          <w:ilvl w:val="2"/>
          <w:numId w:val="11"/>
        </w:numPr>
      </w:pPr>
      <w:r>
        <w:t>Contracto</w:t>
      </w:r>
      <w:r w:rsidR="00273915" w:rsidRPr="00A56FC6">
        <w:t>r shall provide supervision.  Supervision shall consist of, but not be limited to the following:</w:t>
      </w:r>
    </w:p>
    <w:p w:rsidR="00972814" w:rsidRDefault="00972814" w:rsidP="00972814">
      <w:pPr>
        <w:pStyle w:val="ListParagraph"/>
        <w:ind w:left="2160"/>
      </w:pPr>
    </w:p>
    <w:p w:rsidR="00972814" w:rsidRDefault="009B4D3D" w:rsidP="00AD7532">
      <w:pPr>
        <w:pStyle w:val="ListParagraph"/>
        <w:numPr>
          <w:ilvl w:val="3"/>
          <w:numId w:val="11"/>
        </w:numPr>
        <w:tabs>
          <w:tab w:val="clear" w:pos="2880"/>
        </w:tabs>
        <w:ind w:left="3060" w:hanging="900"/>
      </w:pPr>
      <w:r>
        <w:t>S</w:t>
      </w:r>
      <w:r w:rsidR="00273915" w:rsidRPr="00A56FC6">
        <w:t xml:space="preserve">upervisors shall plan, schedule and assign </w:t>
      </w:r>
      <w:r>
        <w:t>tasks</w:t>
      </w:r>
      <w:r w:rsidR="00273915" w:rsidRPr="00A56FC6">
        <w:t xml:space="preserve"> to all </w:t>
      </w:r>
      <w:r w:rsidR="00972814">
        <w:t xml:space="preserve">Contractor’s employees assigned to the </w:t>
      </w:r>
      <w:r w:rsidR="005E3CF6">
        <w:t>w</w:t>
      </w:r>
      <w:r>
        <w:t>ork</w:t>
      </w:r>
      <w:r w:rsidR="00972814">
        <w:t>.</w:t>
      </w:r>
    </w:p>
    <w:p w:rsidR="00972814" w:rsidRDefault="00273915" w:rsidP="00AD7532">
      <w:pPr>
        <w:pStyle w:val="ListParagraph"/>
        <w:numPr>
          <w:ilvl w:val="3"/>
          <w:numId w:val="11"/>
        </w:numPr>
        <w:ind w:left="3060" w:hanging="900"/>
      </w:pPr>
      <w:r w:rsidRPr="00A56FC6">
        <w:t xml:space="preserve">Supervisors shall make inspections to review work in progress and inspect to ensure </w:t>
      </w:r>
      <w:r w:rsidR="009B4D3D">
        <w:t xml:space="preserve">timely </w:t>
      </w:r>
      <w:r w:rsidRPr="00A56FC6">
        <w:t>completion.</w:t>
      </w:r>
    </w:p>
    <w:p w:rsidR="00972814" w:rsidRDefault="00273915" w:rsidP="00AD7532">
      <w:pPr>
        <w:pStyle w:val="ListParagraph"/>
        <w:numPr>
          <w:ilvl w:val="3"/>
          <w:numId w:val="11"/>
        </w:numPr>
        <w:ind w:left="3060" w:hanging="900"/>
      </w:pPr>
      <w:r w:rsidRPr="00A56FC6">
        <w:t>Supervisors shall ensure that the Court’s requirements pertaining to the security of Court</w:t>
      </w:r>
      <w:r w:rsidR="00AD7532">
        <w:t>house are</w:t>
      </w:r>
      <w:r w:rsidRPr="00A56FC6">
        <w:t xml:space="preserve"> met and that </w:t>
      </w:r>
      <w:r w:rsidR="009B4D3D">
        <w:t>Contractor</w:t>
      </w:r>
      <w:r w:rsidRPr="00A56FC6">
        <w:t>’s employees comply with safety regulations.</w:t>
      </w:r>
    </w:p>
    <w:p w:rsidR="009B4D3D" w:rsidRDefault="00273915" w:rsidP="00AD7532">
      <w:pPr>
        <w:pStyle w:val="ListParagraph"/>
        <w:numPr>
          <w:ilvl w:val="3"/>
          <w:numId w:val="11"/>
        </w:numPr>
        <w:ind w:left="3060" w:hanging="900"/>
      </w:pPr>
      <w:r w:rsidRPr="00A56FC6">
        <w:t xml:space="preserve">Supervisors shall maintain a daily log of </w:t>
      </w:r>
      <w:r w:rsidR="009B4D3D" w:rsidRPr="00A56FC6">
        <w:t>employees’</w:t>
      </w:r>
      <w:r w:rsidRPr="00A56FC6">
        <w:t xml:space="preserve"> onsite, and areas worked.</w:t>
      </w:r>
    </w:p>
    <w:p w:rsidR="00E845D1" w:rsidRDefault="00273915" w:rsidP="00E845D1">
      <w:pPr>
        <w:pStyle w:val="ListParagraph"/>
        <w:numPr>
          <w:ilvl w:val="3"/>
          <w:numId w:val="11"/>
        </w:numPr>
        <w:ind w:left="3060" w:hanging="900"/>
      </w:pPr>
      <w:r w:rsidRPr="00A56FC6">
        <w:t>Supervisors shall respond to questions, complaints and requests from Court designated contacts and/or the Director of Court Facilities.</w:t>
      </w:r>
    </w:p>
    <w:p w:rsidR="00315A21" w:rsidRDefault="00315A21" w:rsidP="00E845D1">
      <w:pPr>
        <w:pStyle w:val="ListParagraph"/>
        <w:numPr>
          <w:ilvl w:val="3"/>
          <w:numId w:val="11"/>
        </w:numPr>
        <w:ind w:left="3060" w:hanging="900"/>
      </w:pPr>
      <w:r w:rsidRPr="00A56FC6">
        <w:t xml:space="preserve">Children are </w:t>
      </w:r>
      <w:r w:rsidRPr="00E845D1">
        <w:rPr>
          <w:b/>
          <w:u w:val="single"/>
        </w:rPr>
        <w:t>not</w:t>
      </w:r>
      <w:r w:rsidRPr="00A56FC6">
        <w:t xml:space="preserve"> allowed </w:t>
      </w:r>
      <w:r w:rsidR="00C670AD">
        <w:t xml:space="preserve">on Courthouse grounds or inside </w:t>
      </w:r>
      <w:r w:rsidR="00E845D1">
        <w:t xml:space="preserve">the Courthouse </w:t>
      </w:r>
      <w:r w:rsidR="005E3CF6">
        <w:t>during the performance of the w</w:t>
      </w:r>
      <w:r w:rsidR="00C670AD">
        <w:t>ork.</w:t>
      </w:r>
    </w:p>
    <w:p w:rsidR="0010264E" w:rsidRPr="00A56FC6" w:rsidRDefault="0010264E" w:rsidP="0010264E">
      <w:pPr>
        <w:pStyle w:val="ListParagraph"/>
        <w:ind w:left="3060"/>
      </w:pPr>
    </w:p>
    <w:p w:rsidR="00AD7532" w:rsidRPr="00AD7532" w:rsidRDefault="00AD7532" w:rsidP="00AD7532">
      <w:pPr>
        <w:pStyle w:val="ListParagraph"/>
        <w:numPr>
          <w:ilvl w:val="0"/>
          <w:numId w:val="11"/>
        </w:numPr>
      </w:pPr>
      <w:r w:rsidRPr="00AD7532">
        <w:rPr>
          <w:b/>
        </w:rPr>
        <w:t>COURT RESPONSIBILITIES</w:t>
      </w:r>
    </w:p>
    <w:p w:rsidR="00AD7532" w:rsidRPr="00AD7532" w:rsidRDefault="00AD7532" w:rsidP="00AD7532">
      <w:pPr>
        <w:pStyle w:val="ListParagraph"/>
        <w:ind w:left="1440"/>
      </w:pPr>
    </w:p>
    <w:p w:rsidR="00AD7532" w:rsidRPr="00A56FC6" w:rsidRDefault="00AD7532" w:rsidP="00AD7532">
      <w:pPr>
        <w:pStyle w:val="ListParagraph"/>
        <w:numPr>
          <w:ilvl w:val="1"/>
          <w:numId w:val="11"/>
        </w:numPr>
      </w:pPr>
      <w:r w:rsidRPr="00A56FC6">
        <w:t xml:space="preserve">The Court will provide access to the Courthouse and all appropriate rooms in order for </w:t>
      </w:r>
      <w:r>
        <w:t>Contractor</w:t>
      </w:r>
      <w:r w:rsidRPr="00A56FC6">
        <w:t xml:space="preserve"> to fulfill </w:t>
      </w:r>
      <w:r>
        <w:t xml:space="preserve">its </w:t>
      </w:r>
      <w:r w:rsidRPr="00A56FC6">
        <w:t xml:space="preserve">obligations. </w:t>
      </w:r>
    </w:p>
    <w:p w:rsidR="00AD7532" w:rsidRDefault="00AD7532" w:rsidP="00AD7532">
      <w:pPr>
        <w:pStyle w:val="ListParagraph"/>
        <w:ind w:left="1440"/>
      </w:pPr>
    </w:p>
    <w:p w:rsidR="00AD7532" w:rsidRDefault="00273915" w:rsidP="00AD7532">
      <w:pPr>
        <w:pStyle w:val="ListParagraph"/>
        <w:numPr>
          <w:ilvl w:val="1"/>
          <w:numId w:val="11"/>
        </w:numPr>
      </w:pPr>
      <w:r w:rsidRPr="00A56FC6">
        <w:t xml:space="preserve">The Court shall supply </w:t>
      </w:r>
      <w:r w:rsidR="00AD7532">
        <w:t xml:space="preserve">Contractor </w:t>
      </w:r>
      <w:r w:rsidRPr="00A56FC6">
        <w:t>overhead ceiling lighting, electrical power and water.</w:t>
      </w:r>
    </w:p>
    <w:p w:rsidR="00AD7532" w:rsidRDefault="00AD7532" w:rsidP="00AD7532">
      <w:pPr>
        <w:pStyle w:val="ListParagraph"/>
        <w:ind w:left="1440"/>
      </w:pPr>
    </w:p>
    <w:p w:rsidR="00AD7532" w:rsidRDefault="00273915" w:rsidP="00AD7532">
      <w:pPr>
        <w:pStyle w:val="ListParagraph"/>
        <w:numPr>
          <w:ilvl w:val="1"/>
          <w:numId w:val="11"/>
        </w:numPr>
      </w:pPr>
      <w:r w:rsidRPr="00A56FC6">
        <w:t xml:space="preserve">The Court shall designate a location outside the </w:t>
      </w:r>
      <w:r w:rsidR="00AD7532">
        <w:t>Courthouse</w:t>
      </w:r>
      <w:r w:rsidRPr="00A56FC6">
        <w:t xml:space="preserve"> (parking lot) for </w:t>
      </w:r>
      <w:r w:rsidR="00AD7532">
        <w:t>Contracto</w:t>
      </w:r>
      <w:r w:rsidRPr="00A56FC6">
        <w:t>r</w:t>
      </w:r>
      <w:r w:rsidR="00AD7532">
        <w:t>’s</w:t>
      </w:r>
      <w:r w:rsidRPr="00A56FC6">
        <w:t xml:space="preserve"> storage </w:t>
      </w:r>
      <w:r w:rsidR="00AD7532">
        <w:t>container</w:t>
      </w:r>
      <w:r w:rsidRPr="00A56FC6">
        <w:t xml:space="preserve"> for supplies and equipment. The Court shall not be responsible for the </w:t>
      </w:r>
      <w:r w:rsidR="0010264E">
        <w:t>Contractor’s</w:t>
      </w:r>
      <w:r w:rsidRPr="00A56FC6">
        <w:t xml:space="preserve"> supplies, materials or personal belongings that may be damaged, lost or stolen.</w:t>
      </w:r>
    </w:p>
    <w:p w:rsidR="00AD7532" w:rsidRDefault="00AD7532" w:rsidP="00AD7532">
      <w:pPr>
        <w:pStyle w:val="ListParagraph"/>
      </w:pPr>
    </w:p>
    <w:p w:rsidR="000D54CF" w:rsidRDefault="00273915" w:rsidP="00CF3450">
      <w:pPr>
        <w:pStyle w:val="ListParagraph"/>
        <w:numPr>
          <w:ilvl w:val="1"/>
          <w:numId w:val="11"/>
        </w:numPr>
      </w:pPr>
      <w:r w:rsidRPr="00A56FC6">
        <w:t xml:space="preserve">The Court will provide onsite representation, as necessary in the form of a regular Court employee. All questions or approvals needed by the </w:t>
      </w:r>
      <w:r w:rsidR="00AD7532">
        <w:t>Contractor</w:t>
      </w:r>
      <w:r w:rsidRPr="00A56FC6">
        <w:t xml:space="preserve"> will be run through the </w:t>
      </w:r>
      <w:r w:rsidR="00AD7532">
        <w:t>Court’s P</w:t>
      </w:r>
      <w:r w:rsidRPr="00A56FC6">
        <w:t xml:space="preserve">roject </w:t>
      </w:r>
      <w:r w:rsidR="00AD7532">
        <w:t>M</w:t>
      </w:r>
      <w:r w:rsidRPr="00A56FC6">
        <w:t>anager during normal business hours, unless other arrangements are made.</w:t>
      </w:r>
    </w:p>
    <w:p w:rsidR="0010264E" w:rsidRDefault="0010264E" w:rsidP="0010264E">
      <w:pPr>
        <w:pStyle w:val="ListParagraph"/>
      </w:pPr>
    </w:p>
    <w:p w:rsidR="0010264E" w:rsidRPr="0010264E" w:rsidRDefault="0010264E" w:rsidP="0010264E">
      <w:pPr>
        <w:jc w:val="center"/>
        <w:rPr>
          <w:i/>
        </w:rPr>
      </w:pPr>
      <w:r w:rsidRPr="0010264E">
        <w:rPr>
          <w:i/>
        </w:rPr>
        <w:t>End of Exhibit A</w:t>
      </w:r>
    </w:p>
    <w:sectPr w:rsidR="0010264E" w:rsidRPr="0010264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D5" w:rsidRDefault="009A29D5" w:rsidP="009A29D5">
      <w:r>
        <w:separator/>
      </w:r>
    </w:p>
  </w:endnote>
  <w:endnote w:type="continuationSeparator" w:id="0">
    <w:p w:rsidR="009A29D5" w:rsidRDefault="009A29D5" w:rsidP="009A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D1" w:rsidRDefault="00E845D1" w:rsidP="00E845D1">
    <w:pPr>
      <w:pStyle w:val="Footer"/>
      <w:jc w:val="right"/>
    </w:pPr>
    <w:r>
      <w:rPr>
        <w:sz w:val="20"/>
        <w:szCs w:val="20"/>
      </w:rPr>
      <w:t>Exhibit A: Statement of Work //</w:t>
    </w:r>
    <w:r w:rsidRPr="00CB26BB">
      <w:rPr>
        <w:sz w:val="20"/>
        <w:szCs w:val="20"/>
      </w:rPr>
      <w:t xml:space="preserve"> </w:t>
    </w:r>
    <w:sdt>
      <w:sdtPr>
        <w:rPr>
          <w:sz w:val="20"/>
          <w:szCs w:val="20"/>
        </w:rPr>
        <w:id w:val="-600952888"/>
        <w:docPartObj>
          <w:docPartGallery w:val="Page Numbers (Bottom of Page)"/>
          <w:docPartUnique/>
        </w:docPartObj>
      </w:sdtPr>
      <w:sdtEndPr/>
      <w:sdtContent>
        <w:sdt>
          <w:sdtPr>
            <w:rPr>
              <w:sz w:val="20"/>
              <w:szCs w:val="20"/>
            </w:rPr>
            <w:id w:val="1520499182"/>
            <w:docPartObj>
              <w:docPartGallery w:val="Page Numbers (Top of Page)"/>
              <w:docPartUnique/>
            </w:docPartObj>
          </w:sdtPr>
          <w:sdtEndPr/>
          <w:sdtContent>
            <w:r w:rsidRPr="00CB26BB">
              <w:rPr>
                <w:sz w:val="20"/>
                <w:szCs w:val="20"/>
              </w:rPr>
              <w:t xml:space="preserve">Page </w:t>
            </w:r>
            <w:r w:rsidRPr="00CB26BB">
              <w:rPr>
                <w:bCs/>
                <w:sz w:val="20"/>
                <w:szCs w:val="20"/>
              </w:rPr>
              <w:fldChar w:fldCharType="begin"/>
            </w:r>
            <w:r w:rsidRPr="00CB26BB">
              <w:rPr>
                <w:bCs/>
                <w:sz w:val="20"/>
                <w:szCs w:val="20"/>
              </w:rPr>
              <w:instrText xml:space="preserve"> PAGE </w:instrText>
            </w:r>
            <w:r w:rsidRPr="00CB26BB">
              <w:rPr>
                <w:bCs/>
                <w:sz w:val="20"/>
                <w:szCs w:val="20"/>
              </w:rPr>
              <w:fldChar w:fldCharType="separate"/>
            </w:r>
            <w:r w:rsidR="000A6037">
              <w:rPr>
                <w:bCs/>
                <w:noProof/>
                <w:sz w:val="20"/>
                <w:szCs w:val="20"/>
              </w:rPr>
              <w:t>4</w:t>
            </w:r>
            <w:r w:rsidRPr="00CB26BB">
              <w:rPr>
                <w:bCs/>
                <w:sz w:val="20"/>
                <w:szCs w:val="20"/>
              </w:rPr>
              <w:fldChar w:fldCharType="end"/>
            </w:r>
            <w:r w:rsidRPr="00CB26BB">
              <w:rPr>
                <w:sz w:val="20"/>
                <w:szCs w:val="20"/>
              </w:rPr>
              <w:t xml:space="preserve"> of </w:t>
            </w:r>
            <w:r w:rsidRPr="00CB26BB">
              <w:rPr>
                <w:bCs/>
                <w:sz w:val="20"/>
                <w:szCs w:val="20"/>
              </w:rPr>
              <w:fldChar w:fldCharType="begin"/>
            </w:r>
            <w:r w:rsidRPr="00CB26BB">
              <w:rPr>
                <w:bCs/>
                <w:sz w:val="20"/>
                <w:szCs w:val="20"/>
              </w:rPr>
              <w:instrText xml:space="preserve"> NUMPAGES  </w:instrText>
            </w:r>
            <w:r w:rsidRPr="00CB26BB">
              <w:rPr>
                <w:bCs/>
                <w:sz w:val="20"/>
                <w:szCs w:val="20"/>
              </w:rPr>
              <w:fldChar w:fldCharType="separate"/>
            </w:r>
            <w:r w:rsidR="000A6037">
              <w:rPr>
                <w:bCs/>
                <w:noProof/>
                <w:sz w:val="20"/>
                <w:szCs w:val="20"/>
              </w:rPr>
              <w:t>4</w:t>
            </w:r>
            <w:r w:rsidRPr="00CB26BB">
              <w:rPr>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D5" w:rsidRDefault="009A29D5" w:rsidP="009A29D5">
      <w:r>
        <w:separator/>
      </w:r>
    </w:p>
  </w:footnote>
  <w:footnote w:type="continuationSeparator" w:id="0">
    <w:p w:rsidR="009A29D5" w:rsidRDefault="009A29D5" w:rsidP="009A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5" w:rsidRPr="002406A7" w:rsidRDefault="009A29D5" w:rsidP="009A29D5">
    <w:pPr>
      <w:pStyle w:val="Header"/>
      <w:rPr>
        <w:sz w:val="20"/>
        <w:szCs w:val="20"/>
      </w:rPr>
    </w:pPr>
    <w:r w:rsidRPr="002406A7">
      <w:rPr>
        <w:sz w:val="20"/>
        <w:szCs w:val="20"/>
      </w:rPr>
      <w:t>IFB 22-11 Paint Refresh for Historic Courthouse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406"/>
    <w:multiLevelType w:val="multilevel"/>
    <w:tmpl w:val="EA12575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8E49D3"/>
    <w:multiLevelType w:val="hybridMultilevel"/>
    <w:tmpl w:val="A476DA76"/>
    <w:lvl w:ilvl="0" w:tplc="5CE43336">
      <w:start w:val="1"/>
      <w:numFmt w:val="decimal"/>
      <w:lvlText w:val="%1."/>
      <w:lvlJc w:val="left"/>
      <w:pPr>
        <w:ind w:left="2520" w:hanging="360"/>
      </w:pPr>
      <w:rPr>
        <w:rFonts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3D25D3C"/>
    <w:multiLevelType w:val="hybridMultilevel"/>
    <w:tmpl w:val="B8D68FFA"/>
    <w:lvl w:ilvl="0" w:tplc="9990C282">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C11CCF"/>
    <w:multiLevelType w:val="multilevel"/>
    <w:tmpl w:val="E7D678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AAA5D41"/>
    <w:multiLevelType w:val="multilevel"/>
    <w:tmpl w:val="8F122096"/>
    <w:lvl w:ilvl="0">
      <w:start w:val="1"/>
      <w:numFmt w:val="decimal"/>
      <w:lvlText w:val="%1.0"/>
      <w:lvlJc w:val="left"/>
      <w:pPr>
        <w:tabs>
          <w:tab w:val="num" w:pos="720"/>
        </w:tabs>
        <w:ind w:left="720" w:hanging="720"/>
      </w:pPr>
      <w:rPr>
        <w:rFonts w:ascii="Times New Roman Bold" w:hAnsi="Times New Roman Bold" w:hint="default"/>
        <w:b/>
        <w:i w:val="0"/>
        <w:sz w:val="24"/>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55934E6"/>
    <w:multiLevelType w:val="hybridMultilevel"/>
    <w:tmpl w:val="C16E205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FC2662"/>
    <w:multiLevelType w:val="hybridMultilevel"/>
    <w:tmpl w:val="8174D9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6FD2796"/>
    <w:multiLevelType w:val="hybridMultilevel"/>
    <w:tmpl w:val="8820B89A"/>
    <w:lvl w:ilvl="0" w:tplc="EEF4B83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3C1A59"/>
    <w:multiLevelType w:val="hybridMultilevel"/>
    <w:tmpl w:val="D53E48AE"/>
    <w:lvl w:ilvl="0" w:tplc="DB0E23F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300B1C"/>
    <w:multiLevelType w:val="hybridMultilevel"/>
    <w:tmpl w:val="E03026E2"/>
    <w:lvl w:ilvl="0" w:tplc="C2B63E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6AC1907"/>
    <w:multiLevelType w:val="hybridMultilevel"/>
    <w:tmpl w:val="D856DC02"/>
    <w:lvl w:ilvl="0" w:tplc="56DCB0AA">
      <w:start w:val="1"/>
      <w:numFmt w:val="lowerRoman"/>
      <w:lvlText w:val="%1."/>
      <w:lvlJc w:val="left"/>
      <w:pPr>
        <w:ind w:left="1440" w:hanging="360"/>
      </w:pPr>
      <w:rPr>
        <w:rFonts w:cs="Times New Roman" w:hint="default"/>
      </w:rPr>
    </w:lvl>
    <w:lvl w:ilvl="1" w:tplc="878A3236">
      <w:start w:val="1"/>
      <w:numFmt w:val="decimal"/>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10"/>
  </w:num>
  <w:num w:numId="4">
    <w:abstractNumId w:val="2"/>
  </w:num>
  <w:num w:numId="5">
    <w:abstractNumId w:val="0"/>
  </w:num>
  <w:num w:numId="6">
    <w:abstractNumId w:val="8"/>
  </w:num>
  <w:num w:numId="7">
    <w:abstractNumId w:val="1"/>
  </w:num>
  <w:num w:numId="8">
    <w:abstractNumId w:val="5"/>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15"/>
    <w:rsid w:val="0006798B"/>
    <w:rsid w:val="000A6037"/>
    <w:rsid w:val="000D54CF"/>
    <w:rsid w:val="0010264E"/>
    <w:rsid w:val="00273915"/>
    <w:rsid w:val="00294821"/>
    <w:rsid w:val="00315A21"/>
    <w:rsid w:val="005E3CF6"/>
    <w:rsid w:val="00664C3D"/>
    <w:rsid w:val="006B67AB"/>
    <w:rsid w:val="00742FDB"/>
    <w:rsid w:val="00774B2B"/>
    <w:rsid w:val="00972814"/>
    <w:rsid w:val="009A29D5"/>
    <w:rsid w:val="009B4D3D"/>
    <w:rsid w:val="00A56FC6"/>
    <w:rsid w:val="00AD7532"/>
    <w:rsid w:val="00AE4EA2"/>
    <w:rsid w:val="00C011B0"/>
    <w:rsid w:val="00C670AD"/>
    <w:rsid w:val="00CC6D01"/>
    <w:rsid w:val="00D00D05"/>
    <w:rsid w:val="00E845D1"/>
    <w:rsid w:val="00EE0EB5"/>
    <w:rsid w:val="00F6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EBDE"/>
  <w15:chartTrackingRefBased/>
  <w15:docId w15:val="{1EE97224-9437-488E-A677-9108AE77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73915"/>
    <w:pPr>
      <w:spacing w:after="120" w:line="480" w:lineRule="auto"/>
      <w:ind w:left="360"/>
    </w:pPr>
  </w:style>
  <w:style w:type="character" w:customStyle="1" w:styleId="BodyTextIndent2Char">
    <w:name w:val="Body Text Indent 2 Char"/>
    <w:basedOn w:val="DefaultParagraphFont"/>
    <w:link w:val="BodyTextIndent2"/>
    <w:rsid w:val="00273915"/>
    <w:rPr>
      <w:rFonts w:ascii="Times New Roman" w:eastAsia="Times New Roman" w:hAnsi="Times New Roman" w:cs="Times New Roman"/>
      <w:sz w:val="24"/>
      <w:szCs w:val="24"/>
    </w:rPr>
  </w:style>
  <w:style w:type="paragraph" w:styleId="ListParagraph">
    <w:name w:val="List Paragraph"/>
    <w:basedOn w:val="Normal"/>
    <w:uiPriority w:val="34"/>
    <w:qFormat/>
    <w:rsid w:val="00273915"/>
    <w:pPr>
      <w:ind w:left="720"/>
    </w:pPr>
  </w:style>
  <w:style w:type="paragraph" w:styleId="Header">
    <w:name w:val="header"/>
    <w:basedOn w:val="Normal"/>
    <w:link w:val="HeaderChar"/>
    <w:uiPriority w:val="99"/>
    <w:unhideWhenUsed/>
    <w:rsid w:val="009A29D5"/>
    <w:pPr>
      <w:tabs>
        <w:tab w:val="center" w:pos="4680"/>
        <w:tab w:val="right" w:pos="9360"/>
      </w:tabs>
    </w:pPr>
  </w:style>
  <w:style w:type="character" w:customStyle="1" w:styleId="HeaderChar">
    <w:name w:val="Header Char"/>
    <w:basedOn w:val="DefaultParagraphFont"/>
    <w:link w:val="Header"/>
    <w:uiPriority w:val="99"/>
    <w:rsid w:val="009A29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9D5"/>
    <w:pPr>
      <w:tabs>
        <w:tab w:val="center" w:pos="4680"/>
        <w:tab w:val="right" w:pos="9360"/>
      </w:tabs>
    </w:pPr>
  </w:style>
  <w:style w:type="character" w:customStyle="1" w:styleId="FooterChar">
    <w:name w:val="Footer Char"/>
    <w:basedOn w:val="DefaultParagraphFont"/>
    <w:link w:val="Footer"/>
    <w:uiPriority w:val="99"/>
    <w:rsid w:val="009A29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4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ourtinfo.ca.gov/Prevailing-Wage-Attachment.pdf" TargetMode="External"/><Relationship Id="rId3" Type="http://schemas.openxmlformats.org/officeDocument/2006/relationships/settings" Target="settings.xml"/><Relationship Id="rId7" Type="http://schemas.openxmlformats.org/officeDocument/2006/relationships/hyperlink" Target="http://www.dir.ca.gov/Public-Works/Prevailing-Wag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David</dc:creator>
  <cp:keywords/>
  <dc:description/>
  <cp:lastModifiedBy>Sundy, Sharon</cp:lastModifiedBy>
  <cp:revision>9</cp:revision>
  <dcterms:created xsi:type="dcterms:W3CDTF">2022-12-22T19:12:00Z</dcterms:created>
  <dcterms:modified xsi:type="dcterms:W3CDTF">2023-01-12T20:34:00Z</dcterms:modified>
</cp:coreProperties>
</file>